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E02BCF">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6A649F"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6A649F"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6A649F"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6A649F"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6A649F"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6A649F"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6A649F"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6A649F"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6A649F"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41CFBAFD" w:rsidR="006F5157" w:rsidRPr="00452029" w:rsidRDefault="009C7B1A" w:rsidP="00452029">
      <w:pPr>
        <w:pStyle w:val="Paragraphedeliste"/>
        <w:numPr>
          <w:ilvl w:val="0"/>
          <w:numId w:val="12"/>
        </w:numPr>
        <w:spacing w:after="0"/>
        <w:jc w:val="both"/>
        <w:rPr>
          <w:rFonts w:cstheme="minorHAnsi"/>
          <w:sz w:val="20"/>
          <w:szCs w:val="20"/>
        </w:rPr>
      </w:pPr>
      <w:r w:rsidRPr="00C1366F">
        <w:rPr>
          <w:rFonts w:cstheme="minorHAnsi"/>
          <w:sz w:val="20"/>
          <w:szCs w:val="20"/>
        </w:rPr>
        <w:t>AUTORISATION SPECIFIQUE PREALABLE</w:t>
      </w:r>
      <w:r w:rsidR="007D4E92" w:rsidRPr="00C1366F">
        <w:rPr>
          <w:rFonts w:cstheme="minorHAnsi"/>
          <w:sz w:val="20"/>
          <w:szCs w:val="20"/>
        </w:rPr>
        <w:t xml:space="preserve"> </w:t>
      </w:r>
      <w:r w:rsidR="003E5569" w:rsidRPr="006A649F">
        <w:rPr>
          <w:rFonts w:cstheme="minorHAnsi"/>
          <w:sz w:val="20"/>
          <w:szCs w:val="20"/>
        </w:rPr>
        <w:t>:</w:t>
      </w:r>
      <w:r w:rsidR="003E5569"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3960FC" w:rsidRPr="00C1366F">
        <w:rPr>
          <w:rFonts w:cstheme="minorHAnsi"/>
          <w:sz w:val="20"/>
          <w:szCs w:val="20"/>
        </w:rPr>
        <w:t>deux</w:t>
      </w:r>
      <w:r w:rsidR="008E41AC" w:rsidRPr="00C1366F">
        <w:rPr>
          <w:rFonts w:cstheme="minorHAnsi"/>
          <w:sz w:val="20"/>
          <w:szCs w:val="20"/>
        </w:rPr>
        <w:t xml:space="preserve"> </w:t>
      </w:r>
      <w:r w:rsidR="006D489D" w:rsidRPr="00C1366F">
        <w:rPr>
          <w:rFonts w:cstheme="minorHAnsi"/>
          <w:sz w:val="20"/>
          <w:szCs w:val="20"/>
        </w:rPr>
        <w:t>mois</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1D952655" w14:textId="5FEA2586" w:rsidR="000E0248" w:rsidRDefault="00DA70E6" w:rsidP="00BB79F6">
      <w:pPr>
        <w:pStyle w:val="Paragraphedeliste"/>
        <w:jc w:val="both"/>
        <w:rPr>
          <w:rFonts w:cstheme="minorHAnsi"/>
          <w:sz w:val="20"/>
          <w:szCs w:val="20"/>
        </w:rPr>
      </w:pPr>
      <w:r>
        <w:rPr>
          <w:rFonts w:cstheme="minorHAnsi"/>
          <w:sz w:val="20"/>
          <w:szCs w:val="20"/>
        </w:rPr>
        <w:t xml:space="preserve">CHRISTIANY Damien </w:t>
      </w:r>
    </w:p>
    <w:p w14:paraId="21DAF43F" w14:textId="23A20D16" w:rsidR="00DA70E6" w:rsidRDefault="00DA70E6" w:rsidP="00BB79F6">
      <w:pPr>
        <w:pStyle w:val="Paragraphedeliste"/>
        <w:jc w:val="both"/>
        <w:rPr>
          <w:rFonts w:cstheme="minorHAnsi"/>
          <w:sz w:val="20"/>
          <w:szCs w:val="20"/>
        </w:rPr>
      </w:pPr>
      <w:r>
        <w:rPr>
          <w:rFonts w:cstheme="minorHAnsi"/>
          <w:sz w:val="20"/>
          <w:szCs w:val="20"/>
        </w:rPr>
        <w:t xml:space="preserve">Expert Ingénierie Financière </w:t>
      </w:r>
    </w:p>
    <w:p w14:paraId="1C6FF314" w14:textId="77777777" w:rsidR="00C1366F" w:rsidRDefault="00DA70E6" w:rsidP="00C1366F">
      <w:pPr>
        <w:pStyle w:val="Paragraphedeliste"/>
        <w:jc w:val="both"/>
        <w:rPr>
          <w:rFonts w:cstheme="minorHAnsi"/>
          <w:sz w:val="20"/>
          <w:szCs w:val="20"/>
        </w:rPr>
      </w:pPr>
      <w:r>
        <w:rPr>
          <w:rFonts w:cstheme="minorHAnsi"/>
          <w:sz w:val="20"/>
          <w:szCs w:val="20"/>
        </w:rPr>
        <w:t xml:space="preserve">Direction du Réseau et des Territoires </w:t>
      </w:r>
    </w:p>
    <w:p w14:paraId="3FBF3DAF" w14:textId="1E4A1E0F" w:rsidR="00C1366F" w:rsidRDefault="00C1366F" w:rsidP="00C1366F">
      <w:pPr>
        <w:pStyle w:val="Paragraphedeliste"/>
        <w:jc w:val="both"/>
        <w:rPr>
          <w:sz w:val="20"/>
          <w:szCs w:val="20"/>
        </w:rPr>
      </w:pPr>
      <w:r w:rsidRPr="00D16AAC">
        <w:rPr>
          <w:sz w:val="20"/>
          <w:szCs w:val="20"/>
        </w:rPr>
        <w:t xml:space="preserve">72 avenue Pierre Mendes </w:t>
      </w:r>
      <w:r>
        <w:rPr>
          <w:sz w:val="20"/>
          <w:szCs w:val="20"/>
        </w:rPr>
        <w:t xml:space="preserve">France, </w:t>
      </w:r>
      <w:r w:rsidRPr="00D16AAC">
        <w:rPr>
          <w:sz w:val="20"/>
          <w:szCs w:val="20"/>
        </w:rPr>
        <w:t xml:space="preserve">75013 Paris </w:t>
      </w:r>
    </w:p>
    <w:p w14:paraId="0C9E33CD" w14:textId="3F4DE0B6" w:rsidR="00C1366F" w:rsidRPr="00C1366F" w:rsidRDefault="006A649F" w:rsidP="00C1366F">
      <w:pPr>
        <w:pStyle w:val="Paragraphedeliste"/>
        <w:jc w:val="both"/>
        <w:rPr>
          <w:rFonts w:cstheme="minorHAnsi"/>
          <w:sz w:val="20"/>
          <w:szCs w:val="20"/>
        </w:rPr>
      </w:pPr>
      <w:hyperlink r:id="rId11" w:history="1">
        <w:r w:rsidR="00C1366F" w:rsidRPr="006A72EB">
          <w:rPr>
            <w:rStyle w:val="Lienhypertexte"/>
            <w:rFonts w:cstheme="minorHAnsi"/>
            <w:sz w:val="20"/>
            <w:szCs w:val="20"/>
          </w:rPr>
          <w:t>damien.christiany@caissedesdepots.fr</w:t>
        </w:r>
      </w:hyperlink>
      <w:r w:rsidR="00C1366F">
        <w:rPr>
          <w:rFonts w:cstheme="minorHAnsi"/>
          <w:sz w:val="20"/>
          <w:szCs w:val="20"/>
        </w:rPr>
        <w:t xml:space="preserve"> </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6A649F" w:rsidP="000272D9">
      <w:pPr>
        <w:pStyle w:val="Paragraphedeliste"/>
        <w:rPr>
          <w:rFonts w:cstheme="minorHAnsi"/>
          <w:sz w:val="20"/>
          <w:szCs w:val="20"/>
        </w:rPr>
      </w:pPr>
      <w:hyperlink r:id="rId12"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40262976" w14:textId="627DC44D" w:rsidR="00BB46A6" w:rsidRDefault="00BB46A6" w:rsidP="00BB46A6">
            <w:pPr>
              <w:keepLines/>
              <w:spacing w:before="40"/>
              <w:jc w:val="both"/>
              <w:rPr>
                <w:color w:val="000000" w:themeColor="text1"/>
                <w:sz w:val="20"/>
                <w:szCs w:val="20"/>
              </w:rPr>
            </w:pPr>
            <w:r>
              <w:rPr>
                <w:color w:val="000000" w:themeColor="text1"/>
                <w:sz w:val="20"/>
                <w:szCs w:val="20"/>
              </w:rPr>
              <w:t xml:space="preserve">Dans le cadre de sa mission d’accompagnement des collectivités, en particulier en matière financière, </w:t>
            </w:r>
            <w:r w:rsidRPr="00F52062">
              <w:rPr>
                <w:color w:val="000000" w:themeColor="text1"/>
                <w:sz w:val="20"/>
                <w:szCs w:val="20"/>
              </w:rPr>
              <w:t xml:space="preserve">la Banque des Territoires </w:t>
            </w:r>
            <w:r>
              <w:rPr>
                <w:color w:val="000000" w:themeColor="text1"/>
                <w:sz w:val="20"/>
                <w:szCs w:val="20"/>
              </w:rPr>
              <w:t xml:space="preserve">développe </w:t>
            </w:r>
            <w:r w:rsidRPr="00F52062">
              <w:rPr>
                <w:color w:val="000000" w:themeColor="text1"/>
                <w:sz w:val="20"/>
                <w:szCs w:val="20"/>
              </w:rPr>
              <w:t xml:space="preserve">un outil digital sur une plate-forme externalisée : </w:t>
            </w:r>
            <w:r w:rsidRPr="00F52062">
              <w:rPr>
                <w:b/>
                <w:bCs/>
                <w:color w:val="000000" w:themeColor="text1"/>
                <w:sz w:val="20"/>
                <w:szCs w:val="20"/>
              </w:rPr>
              <w:t xml:space="preserve">« </w:t>
            </w:r>
            <w:proofErr w:type="spellStart"/>
            <w:r w:rsidRPr="00F52062">
              <w:rPr>
                <w:b/>
                <w:bCs/>
                <w:color w:val="000000" w:themeColor="text1"/>
                <w:sz w:val="20"/>
                <w:szCs w:val="20"/>
              </w:rPr>
              <w:t>Collectiv’Finances</w:t>
            </w:r>
            <w:proofErr w:type="spellEnd"/>
            <w:r w:rsidRPr="00F52062">
              <w:rPr>
                <w:b/>
                <w:bCs/>
                <w:color w:val="000000" w:themeColor="text1"/>
                <w:sz w:val="20"/>
                <w:szCs w:val="20"/>
              </w:rPr>
              <w:t xml:space="preserve"> »</w:t>
            </w:r>
            <w:r w:rsidRPr="00F52062">
              <w:rPr>
                <w:color w:val="000000" w:themeColor="text1"/>
                <w:sz w:val="20"/>
                <w:szCs w:val="20"/>
              </w:rPr>
              <w:t xml:space="preserve">. </w:t>
            </w:r>
          </w:p>
          <w:p w14:paraId="442A1339" w14:textId="77777777" w:rsidR="00BB46A6" w:rsidRDefault="00BB46A6" w:rsidP="00BB46A6">
            <w:pPr>
              <w:keepLines/>
              <w:spacing w:before="40"/>
              <w:jc w:val="both"/>
              <w:rPr>
                <w:color w:val="000000" w:themeColor="text1"/>
                <w:sz w:val="20"/>
                <w:szCs w:val="20"/>
              </w:rPr>
            </w:pPr>
          </w:p>
          <w:p w14:paraId="131157FB" w14:textId="170C2C43" w:rsidR="00BB46A6" w:rsidRDefault="00DD597A" w:rsidP="00BB46A6">
            <w:pPr>
              <w:keepLines/>
              <w:spacing w:before="40"/>
              <w:jc w:val="both"/>
              <w:rPr>
                <w:color w:val="000000" w:themeColor="text1"/>
                <w:sz w:val="20"/>
                <w:szCs w:val="20"/>
              </w:rPr>
            </w:pPr>
            <w:r>
              <w:rPr>
                <w:color w:val="000000" w:themeColor="text1"/>
                <w:sz w:val="20"/>
                <w:szCs w:val="20"/>
              </w:rPr>
              <w:t>Tou</w:t>
            </w:r>
            <w:r w:rsidR="0075429A">
              <w:rPr>
                <w:color w:val="000000" w:themeColor="text1"/>
                <w:sz w:val="20"/>
                <w:szCs w:val="20"/>
              </w:rPr>
              <w:t>t</w:t>
            </w:r>
            <w:r>
              <w:rPr>
                <w:color w:val="000000" w:themeColor="text1"/>
                <w:sz w:val="20"/>
                <w:szCs w:val="20"/>
              </w:rPr>
              <w:t xml:space="preserve"> visiteur</w:t>
            </w:r>
            <w:r w:rsidR="0075429A">
              <w:rPr>
                <w:color w:val="000000" w:themeColor="text1"/>
                <w:sz w:val="20"/>
                <w:szCs w:val="20"/>
              </w:rPr>
              <w:t xml:space="preserve"> de cette plateforme peut créer un compte sur Collectiv Finances. L</w:t>
            </w:r>
            <w:r w:rsidR="00BB46A6">
              <w:rPr>
                <w:color w:val="000000" w:themeColor="text1"/>
                <w:sz w:val="20"/>
                <w:szCs w:val="20"/>
              </w:rPr>
              <w:t>es</w:t>
            </w:r>
            <w:r w:rsidR="0075429A">
              <w:rPr>
                <w:color w:val="000000" w:themeColor="text1"/>
                <w:sz w:val="20"/>
                <w:szCs w:val="20"/>
              </w:rPr>
              <w:t xml:space="preserve"> comptes des</w:t>
            </w:r>
            <w:r w:rsidR="00BB46A6">
              <w:rPr>
                <w:color w:val="000000" w:themeColor="text1"/>
                <w:sz w:val="20"/>
                <w:szCs w:val="20"/>
              </w:rPr>
              <w:t xml:space="preserve"> collectivités territoriales de type communes, EPCI et leurs bras armés </w:t>
            </w:r>
            <w:r w:rsidR="0075429A">
              <w:rPr>
                <w:color w:val="000000" w:themeColor="text1"/>
                <w:sz w:val="20"/>
                <w:szCs w:val="20"/>
              </w:rPr>
              <w:t>ont accès aux fonctionnalités</w:t>
            </w:r>
            <w:r w:rsidR="00BB46A6">
              <w:rPr>
                <w:color w:val="000000" w:themeColor="text1"/>
                <w:sz w:val="20"/>
                <w:szCs w:val="20"/>
              </w:rPr>
              <w:t xml:space="preserve"> telles que</w:t>
            </w:r>
            <w:r w:rsidR="00BB46A6" w:rsidRPr="002402A7">
              <w:rPr>
                <w:sz w:val="20"/>
                <w:szCs w:val="20"/>
              </w:rPr>
              <w:t xml:space="preserve"> la prospective budgétaire, la modélisation financière de projet et la</w:t>
            </w:r>
            <w:r w:rsidR="005A600B" w:rsidRPr="002402A7">
              <w:rPr>
                <w:sz w:val="20"/>
                <w:szCs w:val="20"/>
              </w:rPr>
              <w:t xml:space="preserve"> fourniture </w:t>
            </w:r>
            <w:r w:rsidR="00BB46A6" w:rsidRPr="002402A7">
              <w:rPr>
                <w:sz w:val="20"/>
                <w:szCs w:val="20"/>
              </w:rPr>
              <w:t xml:space="preserve">d’un plan pluriannuel d’investissement. </w:t>
            </w:r>
            <w:r w:rsidR="00BE3F6C">
              <w:rPr>
                <w:sz w:val="20"/>
                <w:szCs w:val="20"/>
              </w:rPr>
              <w:t>Grâce à un identifiant et un mot de passe, le représentant d’une collectivité lui crée un compte qui permet</w:t>
            </w:r>
            <w:r w:rsidR="00BB46A6" w:rsidRPr="00F52062">
              <w:rPr>
                <w:color w:val="000000" w:themeColor="text1"/>
                <w:sz w:val="20"/>
                <w:szCs w:val="20"/>
              </w:rPr>
              <w:t>, par la suite, de réutiliser l’outil en fonction de nouvelles données financières</w:t>
            </w:r>
            <w:r w:rsidR="00BB46A6">
              <w:rPr>
                <w:color w:val="000000" w:themeColor="text1"/>
                <w:sz w:val="20"/>
                <w:szCs w:val="20"/>
              </w:rPr>
              <w:t>.</w:t>
            </w:r>
          </w:p>
          <w:p w14:paraId="7F3401FF" w14:textId="77777777" w:rsidR="00BB46A6" w:rsidRDefault="00BB46A6" w:rsidP="00BB46A6">
            <w:pPr>
              <w:keepLines/>
              <w:spacing w:before="40"/>
              <w:jc w:val="both"/>
              <w:rPr>
                <w:color w:val="000000" w:themeColor="text1"/>
                <w:sz w:val="20"/>
                <w:szCs w:val="20"/>
              </w:rPr>
            </w:pPr>
          </w:p>
          <w:p w14:paraId="093D8E73" w14:textId="16BBD344" w:rsidR="00BB46A6" w:rsidRDefault="00BB46A6" w:rsidP="00BB46A6">
            <w:pPr>
              <w:keepLines/>
              <w:spacing w:before="40"/>
              <w:jc w:val="both"/>
              <w:rPr>
                <w:color w:val="000000" w:themeColor="text1"/>
                <w:sz w:val="20"/>
                <w:szCs w:val="20"/>
              </w:rPr>
            </w:pPr>
            <w:r>
              <w:rPr>
                <w:color w:val="000000" w:themeColor="text1"/>
                <w:sz w:val="20"/>
                <w:szCs w:val="20"/>
              </w:rPr>
              <w:t>Pour</w:t>
            </w:r>
            <w:r w:rsidRPr="00F52062">
              <w:rPr>
                <w:color w:val="000000" w:themeColor="text1"/>
                <w:sz w:val="20"/>
                <w:szCs w:val="20"/>
              </w:rPr>
              <w:t xml:space="preserve"> les collectivités locales dont la population est inférieure à 5000 habitants (moins de 50 000 habitants pour les EPCI)</w:t>
            </w:r>
            <w:r w:rsidR="00DE3A73">
              <w:rPr>
                <w:color w:val="000000" w:themeColor="text1"/>
                <w:sz w:val="20"/>
                <w:szCs w:val="20"/>
              </w:rPr>
              <w:t>, elles</w:t>
            </w:r>
            <w:r w:rsidRPr="00F52062">
              <w:rPr>
                <w:color w:val="000000" w:themeColor="text1"/>
                <w:sz w:val="20"/>
                <w:szCs w:val="20"/>
              </w:rPr>
              <w:t xml:space="preserve"> peuvent bénéficier d’un accompagnement gratuit dans le cadre de Rural Consult, dans la prise en main de l’outil, l’analyse de la cohérence des éléments financiers intégrés par la collectivité et la synthèse conclusive permettant d’interpréter les résultats obtenus.</w:t>
            </w:r>
          </w:p>
          <w:p w14:paraId="58DA430A" w14:textId="77777777" w:rsidR="00BE47B9" w:rsidRDefault="00BE47B9" w:rsidP="00BB46A6">
            <w:pPr>
              <w:keepLines/>
              <w:spacing w:before="40"/>
              <w:jc w:val="both"/>
              <w:rPr>
                <w:color w:val="000000" w:themeColor="text1"/>
                <w:sz w:val="20"/>
                <w:szCs w:val="20"/>
              </w:rPr>
            </w:pPr>
          </w:p>
          <w:p w14:paraId="19447F27" w14:textId="77777777" w:rsidR="00BE47B9" w:rsidRDefault="00BE47B9" w:rsidP="00BB46A6">
            <w:pPr>
              <w:keepLines/>
              <w:spacing w:before="40"/>
              <w:jc w:val="both"/>
              <w:rPr>
                <w:sz w:val="20"/>
                <w:szCs w:val="20"/>
              </w:rPr>
            </w:pPr>
            <w:r>
              <w:rPr>
                <w:sz w:val="20"/>
                <w:szCs w:val="20"/>
              </w:rPr>
              <w:t xml:space="preserve">La prestation a pour objet de reprendre la maintenance et l’hébergement du site mais également de pouvoir mener des développements informatiques de nouvelles fonctionnalités. </w:t>
            </w:r>
          </w:p>
          <w:p w14:paraId="5C71C1A4" w14:textId="77777777" w:rsidR="00BE47B9" w:rsidRDefault="00BE47B9" w:rsidP="00BB46A6">
            <w:pPr>
              <w:keepLines/>
              <w:spacing w:before="40"/>
              <w:jc w:val="both"/>
              <w:rPr>
                <w:sz w:val="20"/>
                <w:szCs w:val="20"/>
              </w:rPr>
            </w:pPr>
          </w:p>
          <w:p w14:paraId="75A2D524" w14:textId="482CC274" w:rsidR="00BE47B9" w:rsidRDefault="00BE47B9" w:rsidP="00BB46A6">
            <w:pPr>
              <w:keepLines/>
              <w:spacing w:before="40"/>
              <w:jc w:val="both"/>
              <w:rPr>
                <w:sz w:val="20"/>
                <w:szCs w:val="20"/>
              </w:rPr>
            </w:pPr>
            <w:r>
              <w:rPr>
                <w:sz w:val="20"/>
                <w:szCs w:val="20"/>
              </w:rPr>
              <w:t xml:space="preserve">Elle comprend donc une étape de </w:t>
            </w:r>
            <w:r w:rsidRPr="00BE47B9">
              <w:rPr>
                <w:sz w:val="20"/>
                <w:szCs w:val="20"/>
              </w:rPr>
              <w:t>reprise d’antériorité</w:t>
            </w:r>
            <w:r>
              <w:rPr>
                <w:sz w:val="20"/>
                <w:szCs w:val="20"/>
              </w:rPr>
              <w:t xml:space="preserve">, impliquant : </w:t>
            </w:r>
          </w:p>
          <w:p w14:paraId="640989FA" w14:textId="5166A15C" w:rsidR="00BE47B9" w:rsidRPr="00BE47B9" w:rsidRDefault="00BE47B9" w:rsidP="005A600B">
            <w:pPr>
              <w:pStyle w:val="Paragraphedeliste"/>
              <w:keepLines/>
              <w:numPr>
                <w:ilvl w:val="0"/>
                <w:numId w:val="34"/>
              </w:numPr>
              <w:spacing w:before="40"/>
              <w:jc w:val="both"/>
              <w:rPr>
                <w:color w:val="000000" w:themeColor="text1"/>
                <w:sz w:val="20"/>
                <w:szCs w:val="20"/>
              </w:rPr>
            </w:pPr>
            <w:r>
              <w:rPr>
                <w:sz w:val="20"/>
                <w:szCs w:val="20"/>
              </w:rPr>
              <w:t xml:space="preserve">Un </w:t>
            </w:r>
            <w:r w:rsidRPr="00FF4DDC">
              <w:rPr>
                <w:b/>
                <w:bCs/>
                <w:sz w:val="20"/>
                <w:szCs w:val="20"/>
              </w:rPr>
              <w:t>audit</w:t>
            </w:r>
            <w:r>
              <w:rPr>
                <w:sz w:val="20"/>
                <w:szCs w:val="20"/>
              </w:rPr>
              <w:t xml:space="preserve"> des fonctionnalités actuelles</w:t>
            </w:r>
          </w:p>
          <w:p w14:paraId="16F956FF" w14:textId="75101AF1" w:rsidR="00BE47B9" w:rsidRDefault="00BE47B9" w:rsidP="005A600B">
            <w:pPr>
              <w:pStyle w:val="Paragraphedeliste"/>
              <w:numPr>
                <w:ilvl w:val="0"/>
                <w:numId w:val="34"/>
              </w:numPr>
              <w:spacing w:before="20" w:after="40"/>
              <w:contextualSpacing w:val="0"/>
              <w:jc w:val="both"/>
              <w:rPr>
                <w:sz w:val="20"/>
                <w:szCs w:val="20"/>
              </w:rPr>
            </w:pPr>
            <w:r>
              <w:rPr>
                <w:sz w:val="20"/>
                <w:szCs w:val="20"/>
              </w:rPr>
              <w:t xml:space="preserve">Un </w:t>
            </w:r>
            <w:r w:rsidRPr="00FF4DDC">
              <w:rPr>
                <w:b/>
                <w:bCs/>
                <w:sz w:val="20"/>
                <w:szCs w:val="20"/>
              </w:rPr>
              <w:t>transfert de données</w:t>
            </w:r>
            <w:r>
              <w:rPr>
                <w:sz w:val="20"/>
                <w:szCs w:val="20"/>
              </w:rPr>
              <w:t>,</w:t>
            </w:r>
            <w:r w:rsidRPr="006A6DD3">
              <w:rPr>
                <w:sz w:val="20"/>
                <w:szCs w:val="20"/>
              </w:rPr>
              <w:t> </w:t>
            </w:r>
            <w:r>
              <w:rPr>
                <w:sz w:val="20"/>
                <w:szCs w:val="20"/>
              </w:rPr>
              <w:t xml:space="preserve">fournies par le prestataire actuel, </w:t>
            </w:r>
            <w:r w:rsidRPr="006A6DD3">
              <w:rPr>
                <w:sz w:val="20"/>
                <w:szCs w:val="20"/>
              </w:rPr>
              <w:t>via un canal sécurisé</w:t>
            </w:r>
          </w:p>
          <w:p w14:paraId="058C9400" w14:textId="6C6D8C46" w:rsidR="00BE47B9" w:rsidRPr="006A6DD3" w:rsidRDefault="00BE47B9" w:rsidP="005A600B">
            <w:pPr>
              <w:pStyle w:val="Paragraphedeliste"/>
              <w:numPr>
                <w:ilvl w:val="0"/>
                <w:numId w:val="34"/>
              </w:numPr>
              <w:spacing w:before="20" w:after="40"/>
              <w:contextualSpacing w:val="0"/>
              <w:jc w:val="both"/>
              <w:rPr>
                <w:sz w:val="20"/>
                <w:szCs w:val="20"/>
              </w:rPr>
            </w:pPr>
            <w:r>
              <w:rPr>
                <w:sz w:val="20"/>
                <w:szCs w:val="20"/>
              </w:rPr>
              <w:t>U</w:t>
            </w:r>
            <w:r w:rsidRPr="006A6DD3">
              <w:rPr>
                <w:sz w:val="20"/>
                <w:szCs w:val="20"/>
              </w:rPr>
              <w:t xml:space="preserve">ne vérification de </w:t>
            </w:r>
            <w:r w:rsidRPr="00FF4DDC">
              <w:rPr>
                <w:b/>
                <w:bCs/>
                <w:sz w:val="20"/>
                <w:szCs w:val="20"/>
              </w:rPr>
              <w:t>l'intégrité des données</w:t>
            </w:r>
            <w:r w:rsidRPr="006A6DD3">
              <w:rPr>
                <w:sz w:val="20"/>
                <w:szCs w:val="20"/>
              </w:rPr>
              <w:t xml:space="preserve"> après le transfert</w:t>
            </w:r>
          </w:p>
          <w:p w14:paraId="7D1669FC" w14:textId="41AB3CEF" w:rsidR="00BE47B9" w:rsidRDefault="00BE47B9" w:rsidP="005A600B">
            <w:pPr>
              <w:pStyle w:val="Paragraphedeliste"/>
              <w:numPr>
                <w:ilvl w:val="0"/>
                <w:numId w:val="34"/>
              </w:numPr>
              <w:spacing w:before="20" w:after="40"/>
              <w:contextualSpacing w:val="0"/>
              <w:jc w:val="both"/>
              <w:rPr>
                <w:rFonts w:cstheme="minorHAnsi"/>
                <w:sz w:val="20"/>
                <w:szCs w:val="20"/>
              </w:rPr>
            </w:pPr>
            <w:r w:rsidRPr="00005FAB">
              <w:rPr>
                <w:rFonts w:cstheme="minorHAnsi"/>
                <w:sz w:val="20"/>
                <w:szCs w:val="20"/>
              </w:rPr>
              <w:t xml:space="preserve">Une </w:t>
            </w:r>
            <w:r w:rsidRPr="00FF4DDC">
              <w:rPr>
                <w:rFonts w:cstheme="minorHAnsi"/>
                <w:b/>
                <w:bCs/>
                <w:sz w:val="20"/>
                <w:szCs w:val="20"/>
              </w:rPr>
              <w:t>documentation</w:t>
            </w:r>
            <w:r w:rsidRPr="00005FAB">
              <w:rPr>
                <w:rFonts w:cstheme="minorHAnsi"/>
                <w:sz w:val="20"/>
                <w:szCs w:val="20"/>
              </w:rPr>
              <w:t xml:space="preserve"> complète du processus de migration</w:t>
            </w:r>
          </w:p>
          <w:p w14:paraId="78E673B4" w14:textId="77777777" w:rsidR="00BE47B9" w:rsidRDefault="00BE47B9" w:rsidP="00BE47B9">
            <w:pPr>
              <w:spacing w:before="20" w:after="40"/>
              <w:jc w:val="both"/>
              <w:rPr>
                <w:rFonts w:cstheme="minorHAnsi"/>
                <w:sz w:val="20"/>
                <w:szCs w:val="20"/>
              </w:rPr>
            </w:pPr>
          </w:p>
          <w:p w14:paraId="13D7B946" w14:textId="099131B1" w:rsidR="00BE47B9" w:rsidRDefault="00BE47B9" w:rsidP="00BE47B9">
            <w:pPr>
              <w:spacing w:before="20" w:after="40"/>
              <w:jc w:val="both"/>
              <w:rPr>
                <w:sz w:val="20"/>
                <w:szCs w:val="20"/>
              </w:rPr>
            </w:pPr>
            <w:r>
              <w:rPr>
                <w:sz w:val="20"/>
                <w:szCs w:val="20"/>
              </w:rPr>
              <w:t xml:space="preserve">La prestation devra également fournir les services suivants : </w:t>
            </w:r>
          </w:p>
          <w:p w14:paraId="34F7939D" w14:textId="77777777" w:rsidR="00BE47B9" w:rsidRDefault="00BE47B9" w:rsidP="005A600B">
            <w:pPr>
              <w:pStyle w:val="Paragraphedeliste"/>
              <w:numPr>
                <w:ilvl w:val="0"/>
                <w:numId w:val="34"/>
              </w:numPr>
              <w:spacing w:before="20" w:after="40"/>
              <w:contextualSpacing w:val="0"/>
              <w:jc w:val="both"/>
              <w:rPr>
                <w:b/>
                <w:bCs/>
                <w:sz w:val="20"/>
                <w:szCs w:val="20"/>
              </w:rPr>
            </w:pPr>
            <w:r w:rsidRPr="00FF4DDC">
              <w:rPr>
                <w:b/>
                <w:bCs/>
                <w:sz w:val="20"/>
                <w:szCs w:val="20"/>
              </w:rPr>
              <w:t>L’assistance téléphonique</w:t>
            </w:r>
            <w:r>
              <w:rPr>
                <w:b/>
                <w:bCs/>
                <w:sz w:val="20"/>
                <w:szCs w:val="20"/>
              </w:rPr>
              <w:t xml:space="preserve"> </w:t>
            </w:r>
            <w:r w:rsidRPr="008427C5">
              <w:rPr>
                <w:sz w:val="20"/>
                <w:szCs w:val="20"/>
              </w:rPr>
              <w:t>avec l’accès au support utilisateur durant les heures ouvrées</w:t>
            </w:r>
          </w:p>
          <w:p w14:paraId="105177D8" w14:textId="11E6DC8B" w:rsidR="00BE47B9" w:rsidRDefault="00BE47B9" w:rsidP="005A600B">
            <w:pPr>
              <w:pStyle w:val="Paragraphedeliste"/>
              <w:numPr>
                <w:ilvl w:val="0"/>
                <w:numId w:val="34"/>
              </w:numPr>
              <w:spacing w:before="20" w:after="40"/>
              <w:jc w:val="both"/>
              <w:rPr>
                <w:sz w:val="20"/>
                <w:szCs w:val="20"/>
              </w:rPr>
            </w:pPr>
            <w:r>
              <w:rPr>
                <w:sz w:val="20"/>
                <w:szCs w:val="20"/>
              </w:rPr>
              <w:t xml:space="preserve">La </w:t>
            </w:r>
            <w:r w:rsidRPr="00FF4DDC">
              <w:rPr>
                <w:b/>
                <w:bCs/>
                <w:sz w:val="20"/>
                <w:szCs w:val="20"/>
              </w:rPr>
              <w:t>maintenance du site</w:t>
            </w:r>
            <w:r>
              <w:rPr>
                <w:sz w:val="20"/>
                <w:szCs w:val="20"/>
              </w:rPr>
              <w:t xml:space="preserve"> : </w:t>
            </w:r>
            <w:r w:rsidR="00FF4DDC">
              <w:rPr>
                <w:sz w:val="20"/>
                <w:szCs w:val="20"/>
              </w:rPr>
              <w:t xml:space="preserve">mises à jour nécessaires, correctifs d’anomalies, gestion des incidents, évolutions mineures avec documentation et rapport technique à l’acheteur. </w:t>
            </w:r>
          </w:p>
          <w:p w14:paraId="6C2F2E10" w14:textId="6F143F7B" w:rsidR="008F48E4" w:rsidRPr="008F48E4" w:rsidRDefault="00FF4DDC" w:rsidP="005A600B">
            <w:pPr>
              <w:pStyle w:val="Paragraphedeliste"/>
              <w:numPr>
                <w:ilvl w:val="0"/>
                <w:numId w:val="34"/>
              </w:numPr>
              <w:spacing w:before="20" w:after="40"/>
              <w:jc w:val="both"/>
              <w:rPr>
                <w:rFonts w:cstheme="minorHAnsi"/>
                <w:sz w:val="20"/>
                <w:szCs w:val="20"/>
              </w:rPr>
            </w:pPr>
            <w:r w:rsidRPr="008F48E4">
              <w:rPr>
                <w:b/>
                <w:bCs/>
                <w:sz w:val="20"/>
                <w:szCs w:val="20"/>
              </w:rPr>
              <w:t>Hébergement du site</w:t>
            </w:r>
            <w:r w:rsidRPr="008F48E4">
              <w:rPr>
                <w:sz w:val="20"/>
                <w:szCs w:val="20"/>
              </w:rPr>
              <w:t> : mise en place, information sur le type d’hébergement,</w:t>
            </w:r>
            <w:r w:rsidR="008F48E4" w:rsidRPr="008F48E4">
              <w:rPr>
                <w:sz w:val="20"/>
                <w:szCs w:val="20"/>
              </w:rPr>
              <w:t xml:space="preserve"> performance, mesures de sécurité, sauvegardes fréquentes, disponibilité. </w:t>
            </w:r>
            <w:r w:rsidR="008F48E4" w:rsidRPr="008F48E4">
              <w:rPr>
                <w:rFonts w:cstheme="minorHAnsi"/>
                <w:sz w:val="20"/>
                <w:szCs w:val="20"/>
              </w:rPr>
              <w:t xml:space="preserve">Le titulaire devra s’assurer que la collecte, la manipulation et le stockage des données sont conformes aux exigences légales françaises et européennes. </w:t>
            </w:r>
            <w:r w:rsidR="008F48E4" w:rsidRPr="008F48E4">
              <w:rPr>
                <w:sz w:val="20"/>
                <w:szCs w:val="20"/>
              </w:rPr>
              <w:t>La partie forfaitaire est prévue pour pouvoir supporter au moins 20 000 visites par an.</w:t>
            </w:r>
          </w:p>
          <w:p w14:paraId="4E47178C" w14:textId="502CBE68" w:rsidR="008F48E4" w:rsidRPr="005A600B" w:rsidRDefault="008F48E4" w:rsidP="005A600B">
            <w:pPr>
              <w:pStyle w:val="Paragraphedeliste"/>
              <w:numPr>
                <w:ilvl w:val="0"/>
                <w:numId w:val="34"/>
              </w:numPr>
              <w:spacing w:before="20" w:after="40"/>
              <w:jc w:val="both"/>
              <w:rPr>
                <w:rFonts w:cstheme="minorHAnsi"/>
                <w:sz w:val="20"/>
                <w:szCs w:val="20"/>
              </w:rPr>
            </w:pPr>
            <w:r>
              <w:rPr>
                <w:b/>
                <w:bCs/>
                <w:sz w:val="20"/>
                <w:szCs w:val="20"/>
              </w:rPr>
              <w:t>Gestion des comptes</w:t>
            </w:r>
            <w:r>
              <w:rPr>
                <w:sz w:val="20"/>
                <w:szCs w:val="20"/>
              </w:rPr>
              <w:t xml:space="preserve"> : </w:t>
            </w:r>
            <w:r w:rsidR="00634CD7">
              <w:rPr>
                <w:sz w:val="20"/>
                <w:szCs w:val="20"/>
              </w:rPr>
              <w:t xml:space="preserve">validation des comptes, listing des collectivités suivies, accès et modifications des données financières propres aux collectivités, accès et </w:t>
            </w:r>
            <w:r w:rsidR="005A600B">
              <w:rPr>
                <w:sz w:val="20"/>
                <w:szCs w:val="20"/>
              </w:rPr>
              <w:t>modifications des</w:t>
            </w:r>
            <w:r w:rsidR="00634CD7">
              <w:rPr>
                <w:sz w:val="20"/>
                <w:szCs w:val="20"/>
              </w:rPr>
              <w:t xml:space="preserve"> synthèses. </w:t>
            </w:r>
            <w:r w:rsidR="005A600B">
              <w:rPr>
                <w:sz w:val="20"/>
                <w:szCs w:val="20"/>
              </w:rPr>
              <w:t xml:space="preserve">La Banque des Territoires aura les mêmes prérogatives concernant la gestion des comptes via un compte utilisateur propre. </w:t>
            </w:r>
          </w:p>
          <w:p w14:paraId="67615F4A" w14:textId="77777777" w:rsidR="005A600B" w:rsidRPr="005A600B" w:rsidRDefault="005A600B" w:rsidP="005A600B">
            <w:pPr>
              <w:spacing w:before="20" w:after="40"/>
              <w:jc w:val="both"/>
              <w:rPr>
                <w:rFonts w:cstheme="minorHAnsi"/>
                <w:sz w:val="20"/>
                <w:szCs w:val="20"/>
              </w:rPr>
            </w:pPr>
          </w:p>
          <w:p w14:paraId="2CED916E" w14:textId="2FDDB668" w:rsidR="00FF4DDC" w:rsidRDefault="005A600B" w:rsidP="005A600B">
            <w:pPr>
              <w:spacing w:before="20" w:after="40"/>
              <w:jc w:val="both"/>
              <w:rPr>
                <w:sz w:val="20"/>
                <w:szCs w:val="20"/>
              </w:rPr>
            </w:pPr>
            <w:r>
              <w:rPr>
                <w:sz w:val="20"/>
                <w:szCs w:val="20"/>
              </w:rPr>
              <w:t xml:space="preserve">Dans le cadre du suivi de la prestation, le prestataire devra : </w:t>
            </w:r>
          </w:p>
          <w:p w14:paraId="370C707C" w14:textId="4A128267" w:rsidR="005A600B" w:rsidRDefault="005A600B" w:rsidP="005A600B">
            <w:pPr>
              <w:pStyle w:val="Paragraphedeliste"/>
              <w:numPr>
                <w:ilvl w:val="0"/>
                <w:numId w:val="34"/>
              </w:numPr>
              <w:spacing w:before="20" w:after="40"/>
              <w:jc w:val="both"/>
              <w:rPr>
                <w:sz w:val="20"/>
                <w:szCs w:val="20"/>
              </w:rPr>
            </w:pPr>
            <w:r>
              <w:rPr>
                <w:sz w:val="20"/>
                <w:szCs w:val="20"/>
              </w:rPr>
              <w:t xml:space="preserve">Organiser </w:t>
            </w:r>
            <w:r w:rsidRPr="00374A52">
              <w:rPr>
                <w:sz w:val="20"/>
                <w:szCs w:val="20"/>
              </w:rPr>
              <w:t xml:space="preserve">et participer aux réunions </w:t>
            </w:r>
            <w:r>
              <w:rPr>
                <w:sz w:val="20"/>
                <w:szCs w:val="20"/>
              </w:rPr>
              <w:t>de suivi du projet</w:t>
            </w:r>
          </w:p>
          <w:p w14:paraId="53ECCC89" w14:textId="77777777" w:rsidR="005A600B" w:rsidRDefault="005A600B" w:rsidP="005A600B">
            <w:pPr>
              <w:pStyle w:val="Paragraphedeliste"/>
              <w:numPr>
                <w:ilvl w:val="0"/>
                <w:numId w:val="34"/>
              </w:numPr>
              <w:spacing w:before="20" w:after="40"/>
              <w:contextualSpacing w:val="0"/>
              <w:jc w:val="both"/>
              <w:rPr>
                <w:sz w:val="20"/>
                <w:szCs w:val="20"/>
              </w:rPr>
            </w:pPr>
            <w:r w:rsidRPr="00374A52">
              <w:rPr>
                <w:sz w:val="20"/>
                <w:szCs w:val="20"/>
              </w:rPr>
              <w:t>Préparer les supports de réunion</w:t>
            </w:r>
          </w:p>
          <w:p w14:paraId="082A5291" w14:textId="77777777" w:rsidR="005A600B" w:rsidRDefault="005A600B" w:rsidP="005A600B">
            <w:pPr>
              <w:pStyle w:val="Paragraphedeliste"/>
              <w:numPr>
                <w:ilvl w:val="0"/>
                <w:numId w:val="34"/>
              </w:numPr>
              <w:spacing w:before="20" w:after="40"/>
              <w:contextualSpacing w:val="0"/>
              <w:jc w:val="both"/>
              <w:rPr>
                <w:sz w:val="20"/>
                <w:szCs w:val="20"/>
              </w:rPr>
            </w:pPr>
            <w:r w:rsidRPr="00374A52">
              <w:rPr>
                <w:sz w:val="20"/>
                <w:szCs w:val="20"/>
              </w:rPr>
              <w:t>Rédiger les relevés de décision, et comptes-rendus</w:t>
            </w:r>
          </w:p>
          <w:p w14:paraId="625B5CE4" w14:textId="27FFF062" w:rsidR="005A600B" w:rsidRPr="005A600B" w:rsidRDefault="005A600B" w:rsidP="005A600B">
            <w:pPr>
              <w:pStyle w:val="Paragraphedeliste"/>
              <w:numPr>
                <w:ilvl w:val="0"/>
                <w:numId w:val="34"/>
              </w:numPr>
              <w:spacing w:before="20" w:after="40"/>
              <w:contextualSpacing w:val="0"/>
              <w:jc w:val="both"/>
              <w:rPr>
                <w:sz w:val="20"/>
                <w:szCs w:val="20"/>
              </w:rPr>
            </w:pPr>
            <w:r w:rsidRPr="00374A52">
              <w:rPr>
                <w:sz w:val="20"/>
                <w:szCs w:val="20"/>
              </w:rPr>
              <w:t>Suivre l’avancement, évaluer les risques, prioriser ses actions et partager son planning</w:t>
            </w:r>
          </w:p>
          <w:p w14:paraId="39B29A56" w14:textId="77777777" w:rsidR="00BE47B9" w:rsidRPr="00BE47B9" w:rsidRDefault="00BE47B9" w:rsidP="00BE47B9">
            <w:pPr>
              <w:spacing w:before="20" w:after="40"/>
              <w:jc w:val="both"/>
              <w:rPr>
                <w:rFonts w:cstheme="minorHAnsi"/>
                <w:sz w:val="20"/>
                <w:szCs w:val="20"/>
              </w:rPr>
            </w:pPr>
          </w:p>
          <w:p w14:paraId="6818D7D6" w14:textId="77777777" w:rsidR="00BE47B9" w:rsidRPr="00BE47B9" w:rsidRDefault="00BE47B9" w:rsidP="00BE47B9">
            <w:pPr>
              <w:pStyle w:val="Paragraphedeliste"/>
              <w:keepLines/>
              <w:spacing w:before="40"/>
              <w:ind w:left="360"/>
              <w:jc w:val="both"/>
              <w:rPr>
                <w:color w:val="000000" w:themeColor="text1"/>
                <w:sz w:val="20"/>
                <w:szCs w:val="20"/>
              </w:rPr>
            </w:pPr>
          </w:p>
          <w:p w14:paraId="1CAD98C2" w14:textId="319B40D2" w:rsidR="00A83124" w:rsidRPr="00BB46A6" w:rsidRDefault="00A83124" w:rsidP="00A83124">
            <w:pPr>
              <w:jc w:val="both"/>
              <w:rPr>
                <w:rFonts w:cstheme="minorHAnsi"/>
                <w:bCs/>
                <w:color w:val="FF0000"/>
                <w:sz w:val="20"/>
                <w:szCs w:val="20"/>
                <w:highlight w:val="yellow"/>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lastRenderedPageBreak/>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28964FBF" w14:textId="77777777" w:rsidR="00103476" w:rsidRDefault="00652D30" w:rsidP="00452029">
            <w:pPr>
              <w:jc w:val="both"/>
              <w:rPr>
                <w:rFonts w:cstheme="minorHAnsi"/>
                <w:b/>
                <w:sz w:val="20"/>
                <w:szCs w:val="20"/>
              </w:rPr>
            </w:pPr>
            <w:r w:rsidRPr="00652D30">
              <w:rPr>
                <w:rFonts w:cstheme="minorHAnsi"/>
                <w:b/>
                <w:sz w:val="20"/>
                <w:szCs w:val="20"/>
              </w:rPr>
              <w:t>BDT08 Mettre à disposition de publics externes des outils ou des plateformes digitaux</w:t>
            </w:r>
          </w:p>
          <w:p w14:paraId="74701DC5" w14:textId="77777777" w:rsidR="00A20B6E" w:rsidRDefault="00A20B6E" w:rsidP="00A20B6E">
            <w:pPr>
              <w:pStyle w:val="Paragraphedeliste"/>
              <w:numPr>
                <w:ilvl w:val="0"/>
                <w:numId w:val="34"/>
              </w:numPr>
              <w:jc w:val="both"/>
              <w:rPr>
                <w:rFonts w:cstheme="minorHAnsi"/>
                <w:bCs/>
                <w:sz w:val="20"/>
                <w:szCs w:val="20"/>
              </w:rPr>
            </w:pPr>
            <w:r w:rsidRPr="00A20B6E">
              <w:rPr>
                <w:rFonts w:cstheme="minorHAnsi"/>
                <w:bCs/>
                <w:sz w:val="20"/>
                <w:szCs w:val="20"/>
              </w:rPr>
              <w:t>Créer et mettre à disposition des publics externes des espaces de travail numériques dits collaboratifs et des outils</w:t>
            </w:r>
            <w:r>
              <w:rPr>
                <w:rFonts w:cstheme="minorHAnsi"/>
                <w:bCs/>
                <w:sz w:val="20"/>
                <w:szCs w:val="20"/>
              </w:rPr>
              <w:t xml:space="preserve"> </w:t>
            </w:r>
            <w:r w:rsidRPr="00A20B6E">
              <w:rPr>
                <w:rFonts w:cstheme="minorHAnsi"/>
                <w:bCs/>
                <w:sz w:val="20"/>
                <w:szCs w:val="20"/>
              </w:rPr>
              <w:t xml:space="preserve">digitaux </w:t>
            </w:r>
          </w:p>
          <w:p w14:paraId="68634904" w14:textId="5C55B4A9" w:rsidR="00A20B6E" w:rsidRPr="00A20B6E" w:rsidRDefault="00A20B6E" w:rsidP="00DA70E6">
            <w:pPr>
              <w:pStyle w:val="Paragraphedeliste"/>
              <w:ind w:left="360"/>
              <w:jc w:val="both"/>
              <w:rPr>
                <w:rFonts w:cstheme="minorHAnsi"/>
                <w:bCs/>
                <w:sz w:val="20"/>
                <w:szCs w:val="20"/>
              </w:rPr>
            </w:pPr>
          </w:p>
        </w:tc>
      </w:tr>
      <w:tr w:rsidR="00103476" w:rsidRPr="00461C79" w14:paraId="302805CA" w14:textId="77777777" w:rsidTr="00D92205">
        <w:tc>
          <w:tcPr>
            <w:tcW w:w="2269" w:type="dxa"/>
          </w:tcPr>
          <w:p w14:paraId="2C5E3373" w14:textId="369E7677" w:rsidR="00103476" w:rsidRPr="00452029" w:rsidRDefault="00A20B6E" w:rsidP="00452029">
            <w:pPr>
              <w:spacing w:line="259" w:lineRule="auto"/>
              <w:jc w:val="both"/>
              <w:rPr>
                <w:rFonts w:cstheme="minorHAnsi"/>
                <w:sz w:val="20"/>
                <w:szCs w:val="20"/>
              </w:rPr>
            </w:pPr>
            <w:r w:rsidRPr="00452029">
              <w:rPr>
                <w:rFonts w:cstheme="minorHAnsi"/>
                <w:sz w:val="20"/>
                <w:szCs w:val="20"/>
              </w:rPr>
              <w:t xml:space="preserve">Catégories de </w:t>
            </w:r>
            <w:r>
              <w:rPr>
                <w:rFonts w:cstheme="minorHAnsi"/>
                <w:sz w:val="20"/>
                <w:szCs w:val="20"/>
              </w:rPr>
              <w:t>d</w:t>
            </w:r>
            <w:r w:rsidRPr="00452029">
              <w:rPr>
                <w:rFonts w:cstheme="minorHAnsi"/>
                <w:sz w:val="20"/>
                <w:szCs w:val="20"/>
              </w:rPr>
              <w:t xml:space="preserve">onnées </w:t>
            </w:r>
            <w:r>
              <w:rPr>
                <w:rFonts w:cstheme="minorHAnsi"/>
                <w:sz w:val="20"/>
                <w:szCs w:val="20"/>
              </w:rPr>
              <w:t>p</w:t>
            </w:r>
            <w:r w:rsidRPr="00452029">
              <w:rPr>
                <w:rFonts w:cstheme="minorHAnsi"/>
                <w:sz w:val="20"/>
                <w:szCs w:val="20"/>
              </w:rPr>
              <w:t xml:space="preserve">ersonnelles </w:t>
            </w:r>
            <w:r>
              <w:rPr>
                <w:rFonts w:cstheme="minorHAnsi"/>
                <w:sz w:val="20"/>
                <w:szCs w:val="20"/>
              </w:rPr>
              <w:t>t</w:t>
            </w:r>
            <w:r w:rsidRPr="00452029">
              <w:rPr>
                <w:rFonts w:cstheme="minorHAnsi"/>
                <w:sz w:val="20"/>
                <w:szCs w:val="20"/>
              </w:rPr>
              <w:t>raitées</w:t>
            </w:r>
          </w:p>
        </w:tc>
        <w:tc>
          <w:tcPr>
            <w:tcW w:w="7655" w:type="dxa"/>
          </w:tcPr>
          <w:p w14:paraId="7504381D" w14:textId="634349CF" w:rsidR="00103476" w:rsidRPr="002402A7" w:rsidRDefault="00934320" w:rsidP="00452029">
            <w:pPr>
              <w:spacing w:line="259" w:lineRule="auto"/>
              <w:jc w:val="both"/>
              <w:rPr>
                <w:rFonts w:cstheme="minorHAnsi"/>
                <w:bCs/>
                <w:sz w:val="20"/>
                <w:szCs w:val="20"/>
              </w:rPr>
            </w:pPr>
            <w:r w:rsidRPr="00C1366F">
              <w:rPr>
                <w:rFonts w:cstheme="minorHAnsi"/>
                <w:b/>
                <w:sz w:val="20"/>
                <w:szCs w:val="20"/>
              </w:rPr>
              <w:t>Données d’identification</w:t>
            </w:r>
            <w:r w:rsidRPr="002402A7">
              <w:rPr>
                <w:rFonts w:cstheme="minorHAnsi"/>
                <w:bCs/>
                <w:sz w:val="20"/>
                <w:szCs w:val="20"/>
              </w:rPr>
              <w:t xml:space="preserve"> : </w:t>
            </w:r>
            <w:r w:rsidR="00DA70E6" w:rsidRPr="002402A7">
              <w:rPr>
                <w:rFonts w:cstheme="minorHAnsi"/>
                <w:bCs/>
                <w:sz w:val="20"/>
                <w:szCs w:val="20"/>
              </w:rPr>
              <w:t>Nom, prénom</w:t>
            </w:r>
          </w:p>
          <w:p w14:paraId="07DC0652" w14:textId="77777777" w:rsidR="00BE3F6C" w:rsidRPr="002402A7" w:rsidRDefault="00934320" w:rsidP="00BE3F6C">
            <w:pPr>
              <w:spacing w:line="259" w:lineRule="auto"/>
              <w:jc w:val="both"/>
              <w:rPr>
                <w:rFonts w:cstheme="minorHAnsi"/>
                <w:bCs/>
                <w:sz w:val="20"/>
                <w:szCs w:val="20"/>
              </w:rPr>
            </w:pPr>
            <w:r w:rsidRPr="00C1366F">
              <w:rPr>
                <w:rFonts w:cstheme="minorHAnsi"/>
                <w:b/>
                <w:sz w:val="20"/>
                <w:szCs w:val="20"/>
              </w:rPr>
              <w:t>Données professionnelles</w:t>
            </w:r>
            <w:r w:rsidRPr="002402A7">
              <w:rPr>
                <w:rFonts w:cstheme="minorHAnsi"/>
                <w:bCs/>
                <w:sz w:val="20"/>
                <w:szCs w:val="20"/>
              </w:rPr>
              <w:t> :</w:t>
            </w:r>
            <w:r w:rsidRPr="002402A7">
              <w:rPr>
                <w:rFonts w:cstheme="minorHAnsi"/>
                <w:bCs/>
                <w:i/>
                <w:sz w:val="18"/>
                <w:szCs w:val="18"/>
              </w:rPr>
              <w:t xml:space="preserve"> </w:t>
            </w:r>
            <w:r w:rsidR="00C1366F">
              <w:rPr>
                <w:sz w:val="20"/>
                <w:szCs w:val="20"/>
              </w:rPr>
              <w:t>Mail professionnel, Numéro de téléphone professionnel, Fonction, Entreprise</w:t>
            </w:r>
            <w:r w:rsidR="00BE3F6C">
              <w:rPr>
                <w:sz w:val="20"/>
                <w:szCs w:val="20"/>
              </w:rPr>
              <w:t xml:space="preserve">, </w:t>
            </w:r>
            <w:r w:rsidR="00BE3F6C">
              <w:rPr>
                <w:rFonts w:cstheme="minorHAnsi"/>
                <w:bCs/>
                <w:sz w:val="20"/>
                <w:szCs w:val="20"/>
              </w:rPr>
              <w:t xml:space="preserve">Commune, Code postal, Collectivité </w:t>
            </w:r>
          </w:p>
          <w:p w14:paraId="56665DC4" w14:textId="1EEB2D71" w:rsidR="00934320" w:rsidRPr="002402A7" w:rsidRDefault="00934320" w:rsidP="00452029">
            <w:pPr>
              <w:spacing w:line="259" w:lineRule="auto"/>
              <w:jc w:val="both"/>
              <w:rPr>
                <w:rFonts w:cstheme="minorHAnsi"/>
                <w:bCs/>
                <w:iCs/>
                <w:sz w:val="18"/>
                <w:szCs w:val="18"/>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75B5F50A" w14:textId="1C4CCBA4" w:rsidR="00FD7D45" w:rsidRPr="00FD7D45" w:rsidRDefault="00FD7D45" w:rsidP="00FD7D45">
            <w:pPr>
              <w:jc w:val="both"/>
              <w:rPr>
                <w:rFonts w:cstheme="minorHAnsi"/>
                <w:sz w:val="20"/>
                <w:szCs w:val="20"/>
              </w:rPr>
            </w:pPr>
            <w:r w:rsidRPr="00FD7D45">
              <w:rPr>
                <w:rFonts w:cstheme="minorHAnsi"/>
                <w:sz w:val="20"/>
                <w:szCs w:val="20"/>
              </w:rPr>
              <w:t>Les collaborateurs CDC</w:t>
            </w:r>
          </w:p>
          <w:p w14:paraId="6173200E" w14:textId="3D31A2B3" w:rsidR="00FD7D45" w:rsidRDefault="00FD7D45" w:rsidP="00FD7D45">
            <w:pPr>
              <w:jc w:val="both"/>
              <w:rPr>
                <w:rFonts w:cstheme="minorHAnsi"/>
                <w:sz w:val="20"/>
                <w:szCs w:val="20"/>
              </w:rPr>
            </w:pPr>
            <w:r w:rsidRPr="00FD7D45">
              <w:rPr>
                <w:rFonts w:cstheme="minorHAnsi"/>
                <w:sz w:val="20"/>
                <w:szCs w:val="20"/>
              </w:rPr>
              <w:t xml:space="preserve">Les collaborateurs du prestataire </w:t>
            </w:r>
          </w:p>
          <w:p w14:paraId="19CDB722" w14:textId="7AF7E36A" w:rsidR="00934320" w:rsidRPr="00FD7D45" w:rsidRDefault="00934320" w:rsidP="00FD7D45">
            <w:pPr>
              <w:jc w:val="both"/>
              <w:rPr>
                <w:rFonts w:cstheme="minorHAnsi"/>
                <w:sz w:val="20"/>
                <w:szCs w:val="20"/>
              </w:rPr>
            </w:pPr>
            <w:r>
              <w:rPr>
                <w:rFonts w:cstheme="minorHAnsi"/>
                <w:sz w:val="20"/>
                <w:szCs w:val="20"/>
              </w:rPr>
              <w:t xml:space="preserve">Les </w:t>
            </w:r>
            <w:r w:rsidR="002402A7">
              <w:rPr>
                <w:rFonts w:cstheme="minorHAnsi"/>
                <w:sz w:val="20"/>
                <w:szCs w:val="20"/>
              </w:rPr>
              <w:t xml:space="preserve">utilisateurs de la plateforme </w:t>
            </w:r>
            <w:r>
              <w:rPr>
                <w:rFonts w:cstheme="minorHAnsi"/>
                <w:sz w:val="20"/>
                <w:szCs w:val="20"/>
              </w:rPr>
              <w:t> </w:t>
            </w:r>
          </w:p>
          <w:p w14:paraId="608687F4" w14:textId="1B15DB18" w:rsidR="00103476" w:rsidRPr="00452029" w:rsidRDefault="00103476" w:rsidP="00452029">
            <w:pPr>
              <w:jc w:val="both"/>
              <w:rPr>
                <w:rFonts w:cstheme="minorHAnsi"/>
                <w:sz w:val="20"/>
                <w:szCs w:val="20"/>
                <w:u w:val="single"/>
              </w:rPr>
            </w:pP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2BB9BCF" w14:textId="1DB6D419" w:rsidR="00103476" w:rsidRPr="002402A7" w:rsidRDefault="00A83124" w:rsidP="002402A7">
            <w:pPr>
              <w:spacing w:line="259" w:lineRule="auto"/>
              <w:jc w:val="both"/>
              <w:rPr>
                <w:rFonts w:cstheme="minorHAnsi"/>
                <w:sz w:val="20"/>
                <w:szCs w:val="20"/>
              </w:rPr>
            </w:pPr>
            <w:r>
              <w:rPr>
                <w:rFonts w:cstheme="minorHAnsi"/>
                <w:i/>
                <w:iCs/>
                <w:sz w:val="18"/>
                <w:szCs w:val="18"/>
              </w:rPr>
              <w:t xml:space="preserve"> </w:t>
            </w:r>
            <w:r w:rsidR="00DA70E6">
              <w:rPr>
                <w:rFonts w:cstheme="minorHAnsi"/>
                <w:sz w:val="20"/>
                <w:szCs w:val="20"/>
              </w:rPr>
              <w:t>Collecte, stockage</w:t>
            </w:r>
            <w:r w:rsidR="003779CC">
              <w:rPr>
                <w:rFonts w:cstheme="minorHAnsi"/>
                <w:sz w:val="20"/>
                <w:szCs w:val="20"/>
              </w:rPr>
              <w:t xml:space="preserve">, consultation, </w:t>
            </w:r>
            <w:r w:rsidR="00C1366F">
              <w:rPr>
                <w:rFonts w:cstheme="minorHAnsi"/>
                <w:sz w:val="20"/>
                <w:szCs w:val="20"/>
              </w:rPr>
              <w:t>suppression</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01FFBBB9" w:rsidR="00103476" w:rsidRPr="005A600B" w:rsidRDefault="005A600B" w:rsidP="00452029">
            <w:pPr>
              <w:jc w:val="both"/>
              <w:rPr>
                <w:rFonts w:cstheme="minorHAnsi"/>
                <w:sz w:val="20"/>
                <w:szCs w:val="20"/>
              </w:rPr>
            </w:pPr>
            <w:r w:rsidRPr="005A600B">
              <w:rPr>
                <w:rFonts w:cstheme="minorHAnsi"/>
                <w:sz w:val="20"/>
                <w:szCs w:val="20"/>
              </w:rPr>
              <w:t xml:space="preserve">Durée du contrat : 24 mois </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4EB37101" w14:textId="667E7D6E" w:rsidR="006B21CF" w:rsidRPr="004E33F0" w:rsidRDefault="00A70C73" w:rsidP="00E067FE">
            <w:pPr>
              <w:jc w:val="both"/>
              <w:rPr>
                <w:rFonts w:cstheme="minorHAnsi"/>
                <w:sz w:val="17"/>
                <w:szCs w:val="17"/>
              </w:rPr>
            </w:pPr>
            <w:r w:rsidRPr="00452029">
              <w:rPr>
                <w:rFonts w:cstheme="minorHAnsi"/>
                <w:sz w:val="18"/>
                <w:szCs w:val="18"/>
              </w:rPr>
              <w:t xml:space="preserve"> </w:t>
            </w: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 </w:t>
            </w:r>
            <w:r w:rsidR="00100D0E">
              <w:rPr>
                <w:rFonts w:cstheme="minorHAnsi"/>
                <w:b/>
                <w:bCs/>
                <w:sz w:val="17"/>
                <w:szCs w:val="17"/>
                <w:highlight w:val="cyan"/>
              </w:rPr>
              <w:t>X</w:t>
            </w:r>
            <w:r w:rsidRPr="00D92205">
              <w:rPr>
                <w:rFonts w:cstheme="minorHAnsi"/>
                <w:b/>
                <w:bCs/>
                <w:sz w:val="17"/>
                <w:szCs w:val="17"/>
                <w:highlight w:val="cyan"/>
              </w:rPr>
              <w:t xml:space="preserve">  ]</w:t>
            </w:r>
            <w:r w:rsidRPr="00D92205">
              <w:rPr>
                <w:rFonts w:cstheme="minorHAnsi"/>
                <w:sz w:val="17"/>
                <w:szCs w:val="17"/>
              </w:rPr>
              <w:t xml:space="preserve">    </w:t>
            </w:r>
          </w:p>
        </w:tc>
      </w:tr>
    </w:tbl>
    <w:p w14:paraId="6F0D4481" w14:textId="77777777" w:rsidR="004E33F0" w:rsidRDefault="004E33F0" w:rsidP="004237FD">
      <w:pPr>
        <w:pStyle w:val="Titre1"/>
        <w:rPr>
          <w:rFonts w:asciiTheme="minorHAnsi" w:hAnsiTheme="minorHAnsi" w:cstheme="minorHAnsi"/>
          <w:sz w:val="22"/>
          <w:szCs w:val="22"/>
        </w:rPr>
      </w:pPr>
      <w:bookmarkStart w:id="29" w:name="_Toc160105161"/>
    </w:p>
    <w:p w14:paraId="77224FED" w14:textId="77777777" w:rsidR="004E33F0" w:rsidRDefault="004E33F0" w:rsidP="004237FD">
      <w:pPr>
        <w:pStyle w:val="Titre1"/>
        <w:rPr>
          <w:rFonts w:asciiTheme="minorHAnsi" w:hAnsiTheme="minorHAnsi" w:cstheme="minorHAnsi"/>
          <w:sz w:val="22"/>
          <w:szCs w:val="22"/>
        </w:rPr>
      </w:pPr>
    </w:p>
    <w:p w14:paraId="7C03F434" w14:textId="77777777" w:rsidR="004E33F0" w:rsidRDefault="004E33F0" w:rsidP="004237FD">
      <w:pPr>
        <w:pStyle w:val="Titre1"/>
        <w:rPr>
          <w:rFonts w:asciiTheme="minorHAnsi" w:hAnsiTheme="minorHAnsi" w:cstheme="minorHAnsi"/>
          <w:sz w:val="22"/>
          <w:szCs w:val="22"/>
        </w:rPr>
      </w:pPr>
    </w:p>
    <w:p w14:paraId="5C1053B5" w14:textId="77777777" w:rsidR="004E33F0" w:rsidRDefault="004E33F0" w:rsidP="004237FD">
      <w:pPr>
        <w:pStyle w:val="Titre1"/>
        <w:rPr>
          <w:rFonts w:asciiTheme="minorHAnsi" w:hAnsiTheme="minorHAnsi" w:cstheme="minorHAnsi"/>
          <w:sz w:val="22"/>
          <w:szCs w:val="22"/>
        </w:rPr>
      </w:pPr>
    </w:p>
    <w:p w14:paraId="2E6EAE16" w14:textId="77777777" w:rsidR="004E33F0" w:rsidRDefault="004E33F0" w:rsidP="004237FD">
      <w:pPr>
        <w:pStyle w:val="Titre1"/>
        <w:rPr>
          <w:rFonts w:asciiTheme="minorHAnsi" w:hAnsiTheme="minorHAnsi" w:cstheme="minorHAnsi"/>
          <w:sz w:val="22"/>
          <w:szCs w:val="22"/>
        </w:rPr>
      </w:pPr>
    </w:p>
    <w:p w14:paraId="4FA3318E" w14:textId="77777777" w:rsidR="004E33F0" w:rsidRDefault="004E33F0" w:rsidP="004E33F0"/>
    <w:p w14:paraId="198693F6" w14:textId="77777777" w:rsidR="004E33F0" w:rsidRDefault="004E33F0" w:rsidP="004E33F0"/>
    <w:p w14:paraId="6B349A53" w14:textId="77777777" w:rsidR="004E33F0" w:rsidRDefault="004E33F0" w:rsidP="004E33F0"/>
    <w:p w14:paraId="22198D41" w14:textId="77777777" w:rsidR="004E33F0" w:rsidRDefault="004E33F0" w:rsidP="004E33F0"/>
    <w:p w14:paraId="22366BB4" w14:textId="77777777" w:rsidR="004E33F0" w:rsidRDefault="004E33F0" w:rsidP="004E33F0"/>
    <w:p w14:paraId="3DF4D17F" w14:textId="77777777" w:rsidR="004E33F0" w:rsidRDefault="004E33F0" w:rsidP="004E33F0"/>
    <w:p w14:paraId="05082F1B" w14:textId="77777777" w:rsidR="004E33F0" w:rsidRDefault="004E33F0" w:rsidP="004E33F0"/>
    <w:p w14:paraId="7CD7BE7B" w14:textId="77777777" w:rsidR="004E33F0" w:rsidRDefault="004E33F0" w:rsidP="004E33F0"/>
    <w:p w14:paraId="2C4D9498" w14:textId="77777777" w:rsidR="004E33F0" w:rsidRDefault="004E33F0" w:rsidP="004E33F0"/>
    <w:p w14:paraId="3C923C6E" w14:textId="77777777" w:rsidR="004E33F0" w:rsidRDefault="004E33F0" w:rsidP="004E33F0"/>
    <w:p w14:paraId="1A0FB5D1" w14:textId="77777777" w:rsidR="004E33F0" w:rsidRDefault="004E33F0" w:rsidP="004E33F0"/>
    <w:p w14:paraId="203807C7" w14:textId="77777777" w:rsidR="004E33F0" w:rsidRPr="004E33F0" w:rsidRDefault="004E33F0" w:rsidP="004E33F0"/>
    <w:p w14:paraId="3D8A33CE" w14:textId="79683964" w:rsidR="006F5157" w:rsidRPr="00997304" w:rsidRDefault="006F5157" w:rsidP="004237FD">
      <w:pPr>
        <w:pStyle w:val="Titre1"/>
        <w:rPr>
          <w:rFonts w:asciiTheme="minorHAnsi" w:hAnsiTheme="minorHAnsi" w:cstheme="minorHAnsi"/>
          <w:sz w:val="22"/>
          <w:szCs w:val="22"/>
        </w:rPr>
      </w:pPr>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29"/>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0"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0"/>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2"/>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60AA6731" w14:textId="77777777" w:rsidR="001C7177" w:rsidRPr="00100D0E" w:rsidRDefault="001C7177" w:rsidP="00D92205">
      <w:pPr>
        <w:spacing w:after="0" w:line="240" w:lineRule="exact"/>
        <w:jc w:val="both"/>
        <w:rPr>
          <w:rFonts w:eastAsiaTheme="majorEastAsia" w:cstheme="minorHAnsi"/>
          <w:strike/>
          <w:color w:val="2F5496" w:themeColor="accent1" w:themeShade="BF"/>
          <w:highlight w:val="green"/>
        </w:rPr>
      </w:pPr>
      <w:r w:rsidRPr="00100D0E">
        <w:rPr>
          <w:rFonts w:cstheme="minorHAnsi"/>
          <w:strike/>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1"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1"/>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2"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3"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3"/>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3"/>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4"/>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5"/>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4" w:name="_Hlk162540592"/>
      <w:r w:rsidR="007B35F8" w:rsidRPr="00855C3E">
        <w:rPr>
          <w:sz w:val="20"/>
          <w:szCs w:val="20"/>
        </w:rPr>
        <w:t xml:space="preserve">CCT Transferts – module 3 </w:t>
      </w:r>
      <w:bookmarkEnd w:id="34"/>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6"/>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7"/>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2"/>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2"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3">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3" w:history="1">
        <w:r w:rsidRPr="00784361">
          <w:rPr>
            <w:rStyle w:val="Lienhypertexte"/>
            <w:rFonts w:cstheme="minorHAnsi"/>
            <w:sz w:val="17"/>
            <w:szCs w:val="17"/>
            <w:shd w:val="clear" w:color="auto" w:fill="FFFFFF"/>
          </w:rPr>
          <w:t>https://eur-lex.europa.eu/eli/dec_impl/2021/914/oj?uri=CELEX:32021D0914&amp;locale=fr</w:t>
        </w:r>
      </w:hyperlink>
    </w:p>
  </w:footnote>
  <w:footnote w:id="4">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4" w:history="1">
        <w:r w:rsidRPr="00DA374B">
          <w:rPr>
            <w:rStyle w:val="Lienhypertexte"/>
            <w:sz w:val="17"/>
            <w:szCs w:val="17"/>
          </w:rPr>
          <w:t>https://www.cnil.fr/fr/la-protection-des-donnees-dans-le-monde</w:t>
        </w:r>
      </w:hyperlink>
      <w:r w:rsidRPr="00DA374B">
        <w:rPr>
          <w:sz w:val="17"/>
          <w:szCs w:val="17"/>
        </w:rPr>
        <w:t xml:space="preserve"> </w:t>
      </w:r>
    </w:p>
  </w:footnote>
  <w:footnote w:id="5">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5"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6">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6"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7">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7"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8"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17E8" w14:textId="30ABE274" w:rsidR="0020221B" w:rsidRPr="0020221B" w:rsidRDefault="0020221B" w:rsidP="0020221B">
    <w:pPr>
      <w:pStyle w:val="En-tte"/>
      <w:jc w:val="right"/>
      <w:rPr>
        <w:i/>
        <w:iCs/>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9B1B0C"/>
    <w:multiLevelType w:val="hybridMultilevel"/>
    <w:tmpl w:val="FD6CCBD0"/>
    <w:lvl w:ilvl="0" w:tplc="040C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imes New Roman" w:hAnsi="Calibri" w:cs="Calibri"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6"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8"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0"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5"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30F41B5"/>
    <w:multiLevelType w:val="hybridMultilevel"/>
    <w:tmpl w:val="D1C64EF2"/>
    <w:lvl w:ilvl="0" w:tplc="040C0001">
      <w:start w:val="1"/>
      <w:numFmt w:val="bullet"/>
      <w:lvlText w:val=""/>
      <w:lvlJc w:val="left"/>
      <w:pPr>
        <w:ind w:left="720" w:hanging="360"/>
      </w:pPr>
      <w:rPr>
        <w:rFonts w:ascii="Symbol" w:hAnsi="Symbol" w:hint="default"/>
      </w:rPr>
    </w:lvl>
    <w:lvl w:ilvl="1" w:tplc="4ACE1FFA">
      <w:start w:val="1"/>
      <w:numFmt w:val="bullet"/>
      <w:lvlText w:val="o"/>
      <w:lvlJc w:val="left"/>
      <w:pPr>
        <w:ind w:left="1440" w:hanging="360"/>
      </w:pPr>
      <w:rPr>
        <w:rFonts w:ascii="Courier New" w:hAnsi="Courier New" w:hint="default"/>
      </w:rPr>
    </w:lvl>
    <w:lvl w:ilvl="2" w:tplc="145EAE22">
      <w:start w:val="1"/>
      <w:numFmt w:val="bullet"/>
      <w:lvlText w:val=""/>
      <w:lvlJc w:val="left"/>
      <w:pPr>
        <w:ind w:left="2160" w:hanging="360"/>
      </w:pPr>
      <w:rPr>
        <w:rFonts w:ascii="Wingdings" w:hAnsi="Wingdings" w:hint="default"/>
      </w:rPr>
    </w:lvl>
    <w:lvl w:ilvl="3" w:tplc="D4CE5BEC">
      <w:start w:val="1"/>
      <w:numFmt w:val="bullet"/>
      <w:lvlText w:val=""/>
      <w:lvlJc w:val="left"/>
      <w:pPr>
        <w:ind w:left="2880" w:hanging="360"/>
      </w:pPr>
      <w:rPr>
        <w:rFonts w:ascii="Symbol" w:hAnsi="Symbol" w:hint="default"/>
      </w:rPr>
    </w:lvl>
    <w:lvl w:ilvl="4" w:tplc="E5823CCA">
      <w:start w:val="1"/>
      <w:numFmt w:val="bullet"/>
      <w:lvlText w:val="o"/>
      <w:lvlJc w:val="left"/>
      <w:pPr>
        <w:ind w:left="3600" w:hanging="360"/>
      </w:pPr>
      <w:rPr>
        <w:rFonts w:ascii="Courier New" w:hAnsi="Courier New" w:hint="default"/>
      </w:rPr>
    </w:lvl>
    <w:lvl w:ilvl="5" w:tplc="5F2CB350">
      <w:start w:val="1"/>
      <w:numFmt w:val="bullet"/>
      <w:lvlText w:val=""/>
      <w:lvlJc w:val="left"/>
      <w:pPr>
        <w:ind w:left="4320" w:hanging="360"/>
      </w:pPr>
      <w:rPr>
        <w:rFonts w:ascii="Wingdings" w:hAnsi="Wingdings" w:hint="default"/>
      </w:rPr>
    </w:lvl>
    <w:lvl w:ilvl="6" w:tplc="95184FF6">
      <w:start w:val="1"/>
      <w:numFmt w:val="bullet"/>
      <w:lvlText w:val=""/>
      <w:lvlJc w:val="left"/>
      <w:pPr>
        <w:ind w:left="5040" w:hanging="360"/>
      </w:pPr>
      <w:rPr>
        <w:rFonts w:ascii="Symbol" w:hAnsi="Symbol" w:hint="default"/>
      </w:rPr>
    </w:lvl>
    <w:lvl w:ilvl="7" w:tplc="E098C12E">
      <w:start w:val="1"/>
      <w:numFmt w:val="bullet"/>
      <w:lvlText w:val="o"/>
      <w:lvlJc w:val="left"/>
      <w:pPr>
        <w:ind w:left="5760" w:hanging="360"/>
      </w:pPr>
      <w:rPr>
        <w:rFonts w:ascii="Courier New" w:hAnsi="Courier New" w:hint="default"/>
      </w:rPr>
    </w:lvl>
    <w:lvl w:ilvl="8" w:tplc="8F1EFC8E">
      <w:start w:val="1"/>
      <w:numFmt w:val="bullet"/>
      <w:lvlText w:val=""/>
      <w:lvlJc w:val="left"/>
      <w:pPr>
        <w:ind w:left="6480" w:hanging="360"/>
      </w:pPr>
      <w:rPr>
        <w:rFonts w:ascii="Wingdings" w:hAnsi="Wingdings" w:hint="default"/>
      </w:rPr>
    </w:lvl>
  </w:abstractNum>
  <w:abstractNum w:abstractNumId="91"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0"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2"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80"/>
  </w:num>
  <w:num w:numId="9" w16cid:durableId="293412950">
    <w:abstractNumId w:val="16"/>
  </w:num>
  <w:num w:numId="10" w16cid:durableId="2112161915">
    <w:abstractNumId w:val="28"/>
  </w:num>
  <w:num w:numId="11" w16cid:durableId="1955479934">
    <w:abstractNumId w:val="88"/>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6"/>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9"/>
  </w:num>
  <w:num w:numId="32" w16cid:durableId="1920291230">
    <w:abstractNumId w:val="101"/>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4"/>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3"/>
  </w:num>
  <w:num w:numId="48" w16cid:durableId="914583439">
    <w:abstractNumId w:val="65"/>
  </w:num>
  <w:num w:numId="49" w16cid:durableId="1395471696">
    <w:abstractNumId w:val="100"/>
  </w:num>
  <w:num w:numId="50" w16cid:durableId="611060444">
    <w:abstractNumId w:val="6"/>
  </w:num>
  <w:num w:numId="51" w16cid:durableId="1564019714">
    <w:abstractNumId w:val="25"/>
  </w:num>
  <w:num w:numId="52" w16cid:durableId="2018654521">
    <w:abstractNumId w:val="78"/>
  </w:num>
  <w:num w:numId="53" w16cid:durableId="1612587041">
    <w:abstractNumId w:val="81"/>
  </w:num>
  <w:num w:numId="54" w16cid:durableId="1847864772">
    <w:abstractNumId w:val="89"/>
  </w:num>
  <w:num w:numId="55" w16cid:durableId="1021199975">
    <w:abstractNumId w:val="9"/>
  </w:num>
  <w:num w:numId="56" w16cid:durableId="2094085599">
    <w:abstractNumId w:val="50"/>
  </w:num>
  <w:num w:numId="57" w16cid:durableId="1879395154">
    <w:abstractNumId w:val="76"/>
  </w:num>
  <w:num w:numId="58" w16cid:durableId="1085031833">
    <w:abstractNumId w:val="8"/>
  </w:num>
  <w:num w:numId="59" w16cid:durableId="1319310168">
    <w:abstractNumId w:val="47"/>
  </w:num>
  <w:num w:numId="60" w16cid:durableId="372968689">
    <w:abstractNumId w:val="43"/>
  </w:num>
  <w:num w:numId="61" w16cid:durableId="1598052128">
    <w:abstractNumId w:val="91"/>
  </w:num>
  <w:num w:numId="62" w16cid:durableId="311564762">
    <w:abstractNumId w:val="44"/>
  </w:num>
  <w:num w:numId="63" w16cid:durableId="1564219956">
    <w:abstractNumId w:val="97"/>
  </w:num>
  <w:num w:numId="64" w16cid:durableId="1240871798">
    <w:abstractNumId w:val="85"/>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7"/>
  </w:num>
  <w:num w:numId="71" w16cid:durableId="1642610408">
    <w:abstractNumId w:val="86"/>
  </w:num>
  <w:num w:numId="72" w16cid:durableId="1645815816">
    <w:abstractNumId w:val="26"/>
  </w:num>
  <w:num w:numId="73" w16cid:durableId="1359548465">
    <w:abstractNumId w:val="21"/>
  </w:num>
  <w:num w:numId="74" w16cid:durableId="1322344471">
    <w:abstractNumId w:val="27"/>
  </w:num>
  <w:num w:numId="75" w16cid:durableId="1921064339">
    <w:abstractNumId w:val="77"/>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5"/>
  </w:num>
  <w:num w:numId="81" w16cid:durableId="227040620">
    <w:abstractNumId w:val="58"/>
  </w:num>
  <w:num w:numId="82" w16cid:durableId="238558043">
    <w:abstractNumId w:val="20"/>
  </w:num>
  <w:num w:numId="83" w16cid:durableId="1555001007">
    <w:abstractNumId w:val="12"/>
  </w:num>
  <w:num w:numId="84" w16cid:durableId="1698895351">
    <w:abstractNumId w:val="92"/>
  </w:num>
  <w:num w:numId="85" w16cid:durableId="204635537">
    <w:abstractNumId w:val="1"/>
  </w:num>
  <w:num w:numId="86" w16cid:durableId="185339333">
    <w:abstractNumId w:val="82"/>
  </w:num>
  <w:num w:numId="87" w16cid:durableId="2124225558">
    <w:abstractNumId w:val="30"/>
  </w:num>
  <w:num w:numId="88" w16cid:durableId="779027641">
    <w:abstractNumId w:val="54"/>
  </w:num>
  <w:num w:numId="89" w16cid:durableId="416752988">
    <w:abstractNumId w:val="102"/>
  </w:num>
  <w:num w:numId="90" w16cid:durableId="1469518990">
    <w:abstractNumId w:val="99"/>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8"/>
  </w:num>
  <w:num w:numId="96" w16cid:durableId="750129303">
    <w:abstractNumId w:val="31"/>
  </w:num>
  <w:num w:numId="97" w16cid:durableId="1751148697">
    <w:abstractNumId w:val="94"/>
  </w:num>
  <w:num w:numId="98" w16cid:durableId="2025667598">
    <w:abstractNumId w:val="22"/>
  </w:num>
  <w:num w:numId="99" w16cid:durableId="740713684">
    <w:abstractNumId w:val="93"/>
  </w:num>
  <w:num w:numId="100" w16cid:durableId="895244199">
    <w:abstractNumId w:val="70"/>
  </w:num>
  <w:num w:numId="101" w16cid:durableId="1196384538">
    <w:abstractNumId w:val="59"/>
  </w:num>
  <w:num w:numId="102" w16cid:durableId="1639457630">
    <w:abstractNumId w:val="75"/>
  </w:num>
  <w:num w:numId="103" w16cid:durableId="1412577207">
    <w:abstractNumId w:val="9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0D0E"/>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16972"/>
    <w:rsid w:val="002222E9"/>
    <w:rsid w:val="00224656"/>
    <w:rsid w:val="00231EC3"/>
    <w:rsid w:val="00232C43"/>
    <w:rsid w:val="00235710"/>
    <w:rsid w:val="002402A7"/>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779CC"/>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E33F0"/>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055E"/>
    <w:rsid w:val="005A4C1D"/>
    <w:rsid w:val="005A5F12"/>
    <w:rsid w:val="005A600B"/>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4CD7"/>
    <w:rsid w:val="00636F4C"/>
    <w:rsid w:val="00637B69"/>
    <w:rsid w:val="00641164"/>
    <w:rsid w:val="00641311"/>
    <w:rsid w:val="006445E9"/>
    <w:rsid w:val="00651728"/>
    <w:rsid w:val="00652D30"/>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649F"/>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29A"/>
    <w:rsid w:val="0075482E"/>
    <w:rsid w:val="00757C6B"/>
    <w:rsid w:val="00761D90"/>
    <w:rsid w:val="00764A72"/>
    <w:rsid w:val="007651D0"/>
    <w:rsid w:val="007653F0"/>
    <w:rsid w:val="00766579"/>
    <w:rsid w:val="007665D1"/>
    <w:rsid w:val="00767452"/>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3A5"/>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48E4"/>
    <w:rsid w:val="008F62FA"/>
    <w:rsid w:val="009044C4"/>
    <w:rsid w:val="009066DC"/>
    <w:rsid w:val="00907A58"/>
    <w:rsid w:val="0091038B"/>
    <w:rsid w:val="00926A0C"/>
    <w:rsid w:val="009271A4"/>
    <w:rsid w:val="00932A05"/>
    <w:rsid w:val="009333E5"/>
    <w:rsid w:val="00933F7C"/>
    <w:rsid w:val="00934320"/>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44EC"/>
    <w:rsid w:val="00A154D5"/>
    <w:rsid w:val="00A15A35"/>
    <w:rsid w:val="00A15D0E"/>
    <w:rsid w:val="00A16EC8"/>
    <w:rsid w:val="00A2031F"/>
    <w:rsid w:val="00A20B6E"/>
    <w:rsid w:val="00A24DFC"/>
    <w:rsid w:val="00A25761"/>
    <w:rsid w:val="00A2595D"/>
    <w:rsid w:val="00A25ED8"/>
    <w:rsid w:val="00A27DDE"/>
    <w:rsid w:val="00A32B78"/>
    <w:rsid w:val="00A423CF"/>
    <w:rsid w:val="00A45A5A"/>
    <w:rsid w:val="00A50363"/>
    <w:rsid w:val="00A51975"/>
    <w:rsid w:val="00A5528E"/>
    <w:rsid w:val="00A56746"/>
    <w:rsid w:val="00A56E12"/>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17C06"/>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317C"/>
    <w:rsid w:val="00BA47D5"/>
    <w:rsid w:val="00BA546A"/>
    <w:rsid w:val="00BB1918"/>
    <w:rsid w:val="00BB297E"/>
    <w:rsid w:val="00BB44CD"/>
    <w:rsid w:val="00BB46A6"/>
    <w:rsid w:val="00BB751D"/>
    <w:rsid w:val="00BB79F6"/>
    <w:rsid w:val="00BC1B3E"/>
    <w:rsid w:val="00BC2B08"/>
    <w:rsid w:val="00BC365E"/>
    <w:rsid w:val="00BC4213"/>
    <w:rsid w:val="00BD5F61"/>
    <w:rsid w:val="00BD65AB"/>
    <w:rsid w:val="00BE3F6C"/>
    <w:rsid w:val="00BE47B9"/>
    <w:rsid w:val="00BF0542"/>
    <w:rsid w:val="00BF0B08"/>
    <w:rsid w:val="00BF3415"/>
    <w:rsid w:val="00BF5597"/>
    <w:rsid w:val="00BF5BB1"/>
    <w:rsid w:val="00C0286F"/>
    <w:rsid w:val="00C0425E"/>
    <w:rsid w:val="00C11896"/>
    <w:rsid w:val="00C1192B"/>
    <w:rsid w:val="00C13087"/>
    <w:rsid w:val="00C130B0"/>
    <w:rsid w:val="00C1366F"/>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0ABA"/>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16E06"/>
    <w:rsid w:val="00D20B6F"/>
    <w:rsid w:val="00D24CA7"/>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7C0"/>
    <w:rsid w:val="00D90C94"/>
    <w:rsid w:val="00D92205"/>
    <w:rsid w:val="00D94F8D"/>
    <w:rsid w:val="00D97377"/>
    <w:rsid w:val="00DA0999"/>
    <w:rsid w:val="00DA2481"/>
    <w:rsid w:val="00DA70E6"/>
    <w:rsid w:val="00DB19DA"/>
    <w:rsid w:val="00DB32FC"/>
    <w:rsid w:val="00DB5702"/>
    <w:rsid w:val="00DB70A5"/>
    <w:rsid w:val="00DD1688"/>
    <w:rsid w:val="00DD209E"/>
    <w:rsid w:val="00DD240C"/>
    <w:rsid w:val="00DD458C"/>
    <w:rsid w:val="00DD597A"/>
    <w:rsid w:val="00DD6967"/>
    <w:rsid w:val="00DE0222"/>
    <w:rsid w:val="00DE3A73"/>
    <w:rsid w:val="00DE5BDB"/>
    <w:rsid w:val="00DF2924"/>
    <w:rsid w:val="00DF317B"/>
    <w:rsid w:val="00DF52CF"/>
    <w:rsid w:val="00E01A73"/>
    <w:rsid w:val="00E01A8D"/>
    <w:rsid w:val="00E02BCF"/>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D7D45"/>
    <w:rsid w:val="00FE2D09"/>
    <w:rsid w:val="00FF4DDC"/>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Liste à puce - Normal,lp1,Paragraphe_DAT,Paragraphe de liste 1,Title 1,P1 Pharos,ARS Puces,AMR Paragraphe de liste 1er niveau,Bullet List,FooterText,numbered,List Paragraph1,Bulletr List Paragraph"/>
    <w:basedOn w:val="Normal"/>
    <w:link w:val="ParagraphedelisteCar"/>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character" w:customStyle="1" w:styleId="ParagraphedelisteCar">
    <w:name w:val="Paragraphe de liste Car"/>
    <w:aliases w:val="Paragraphe Car,Style petit bullet violet Car,Liste à puce - Normal Car,lp1 Car,Paragraphe_DAT Car,Paragraphe de liste 1 Car,Title 1 Car,P1 Pharos Car,ARS Puces Car,AMR Paragraphe de liste 1er niveau Car,Bullet List Car"/>
    <w:link w:val="Paragraphedeliste"/>
    <w:uiPriority w:val="34"/>
    <w:qFormat/>
    <w:locked/>
    <w:rsid w:val="00BB4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aissedesdepots.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mien.christiany@caissedesdepots.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dataprivacyframework.gov/list"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commission.europa.eu/law/law-topic/data-protection/international-dimension-data-protection/eu-us-data-transfers_en" TargetMode="External"/><Relationship Id="rId2" Type="http://schemas.openxmlformats.org/officeDocument/2006/relationships/hyperlink" Target="https://www.cnil.fr/fr/reglement-europeen-protection-donnees"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edpb.europa.eu/our-work-tools/documents/public-consultations/2020/recommendations-012020-measures-supplement_fr" TargetMode="External"/><Relationship Id="rId5" Type="http://schemas.openxmlformats.org/officeDocument/2006/relationships/hyperlink" Target="https://edpb.europa.eu/our-work-tools/our-documents/recommendations/recommendations-022020-european-essential-guarantees_fr" TargetMode="External"/><Relationship Id="rId4"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3.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77F50A-6606-4672-99D2-08B50A5973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18</Pages>
  <Words>8370</Words>
  <Characters>46038</Characters>
  <Application>Microsoft Office Word</Application>
  <DocSecurity>0</DocSecurity>
  <Lines>383</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Viniaker, Valerie</cp:lastModifiedBy>
  <cp:revision>15</cp:revision>
  <cp:lastPrinted>2024-04-25T17:33:00Z</cp:lastPrinted>
  <dcterms:created xsi:type="dcterms:W3CDTF">2024-10-23T14:52:00Z</dcterms:created>
  <dcterms:modified xsi:type="dcterms:W3CDTF">2026-01-07T09:43:00Z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0x01010056491598BC886B4AB9D8D625FB6A0213</vt:lpwstr>
  </property>
  <property fmtid="{D5CDD505-2E9C-101B-9397-08002B2CF9AE}" pid="3" name="MSIP_Label_c5b04b44-fe65-4c0a-a094-f1129d3224ff_Enabled">
    <vt:lpwstr>true</vt:lpwstr>
  </property>
  <property fmtid="{D5CDD505-2E9C-101B-9397-08002B2CF9AE}" pid="4" name="MSIP_Label_c5b04b44-fe65-4c0a-a094-f1129d3224ff_SetDate">
    <vt:lpwstr>2026-01-07T09:43:29Z</vt:lpwstr>
  </property>
  <property fmtid="{D5CDD505-2E9C-101B-9397-08002B2CF9AE}" pid="5" name="MSIP_Label_c5b04b44-fe65-4c0a-a094-f1129d3224ff_Method">
    <vt:lpwstr>Privileged</vt:lpwstr>
  </property>
  <property fmtid="{D5CDD505-2E9C-101B-9397-08002B2CF9AE}" pid="6" name="MSIP_Label_c5b04b44-fe65-4c0a-a094-f1129d3224ff_Name">
    <vt:lpwstr>C1-Public</vt:lpwstr>
  </property>
  <property fmtid="{D5CDD505-2E9C-101B-9397-08002B2CF9AE}" pid="7" name="MSIP_Label_c5b04b44-fe65-4c0a-a094-f1129d3224ff_SiteId">
    <vt:lpwstr>6eab6365-8194-49c6-a4d0-e2d1a0fbeb74</vt:lpwstr>
  </property>
  <property fmtid="{D5CDD505-2E9C-101B-9397-08002B2CF9AE}" pid="8" name="MSIP_Label_c5b04b44-fe65-4c0a-a094-f1129d3224ff_ActionId">
    <vt:lpwstr>89b572d0-dddb-4d4b-9aaa-e89cffacd150</vt:lpwstr>
  </property>
  <property fmtid="{D5CDD505-2E9C-101B-9397-08002B2CF9AE}" pid="9" name="MSIP_Label_c5b04b44-fe65-4c0a-a094-f1129d3224ff_ContentBits">
    <vt:lpwstr>0</vt:lpwstr>
  </property>
</Properties>
</file>